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2247FA" w14:paraId="0A9186AC" w14:textId="77777777">
        <w:tc>
          <w:tcPr>
            <w:tcW w:w="4508" w:type="dxa"/>
          </w:tcPr>
          <w:p w14:paraId="36544EC6" w14:textId="03EBDC84" w:rsidR="00E66614" w:rsidRDefault="00297CDA">
            <w:pPr>
              <w:spacing w:line="280" w:lineRule="exact"/>
              <w:jc w:val="center"/>
              <w:rPr>
                <w:bCs/>
                <w:szCs w:val="28"/>
                <w:lang w:val="nb-NO"/>
              </w:rPr>
            </w:pPr>
            <w:r>
              <w:rPr>
                <w:bCs/>
                <w:szCs w:val="28"/>
                <w:lang w:val="nb-NO"/>
              </w:rPr>
              <w:t>UBND</w:t>
            </w:r>
            <w:r w:rsidR="00E66614">
              <w:rPr>
                <w:bCs/>
                <w:szCs w:val="28"/>
                <w:lang w:val="nb-NO"/>
              </w:rPr>
              <w:t xml:space="preserve"> huyện Điện Biên</w:t>
            </w:r>
          </w:p>
          <w:p w14:paraId="5B5EC13E" w14:textId="6E94B5F0" w:rsidR="002247FA" w:rsidRPr="00E66614" w:rsidRDefault="004D4197">
            <w:pPr>
              <w:spacing w:line="280" w:lineRule="exact"/>
              <w:jc w:val="center"/>
              <w:rPr>
                <w:b/>
                <w:bCs/>
                <w:szCs w:val="28"/>
                <w:lang w:val="nb-NO"/>
              </w:rPr>
            </w:pPr>
            <w:r w:rsidRPr="00E66614">
              <w:rPr>
                <w:b/>
                <w:bCs/>
                <w:szCs w:val="28"/>
                <w:lang w:val="nb-NO"/>
              </w:rPr>
              <w:t xml:space="preserve">Trường THCS xã </w:t>
            </w:r>
            <w:r w:rsidR="00297CDA">
              <w:rPr>
                <w:b/>
                <w:bCs/>
                <w:szCs w:val="28"/>
                <w:lang w:val="nb-NO"/>
              </w:rPr>
              <w:t>Thanh Luông</w:t>
            </w:r>
          </w:p>
          <w:p w14:paraId="5D285405" w14:textId="77777777" w:rsidR="002247FA" w:rsidRDefault="004D4197">
            <w:pPr>
              <w:spacing w:line="280" w:lineRule="exact"/>
              <w:jc w:val="center"/>
              <w:rPr>
                <w:bCs/>
                <w:szCs w:val="28"/>
                <w:lang w:val="nb-NO"/>
              </w:rPr>
            </w:pPr>
            <w:r>
              <w:rPr>
                <w:b/>
                <w:bCs/>
                <w:szCs w:val="28"/>
                <w:lang w:val="nb-NO"/>
              </w:rPr>
              <w:t xml:space="preserve">Nhóm 1 </w:t>
            </w:r>
          </w:p>
        </w:tc>
        <w:tc>
          <w:tcPr>
            <w:tcW w:w="4509" w:type="dxa"/>
          </w:tcPr>
          <w:p w14:paraId="6F2C1E41" w14:textId="77777777" w:rsidR="002247FA" w:rsidRDefault="002247FA">
            <w:pPr>
              <w:spacing w:line="280" w:lineRule="exact"/>
              <w:jc w:val="both"/>
              <w:rPr>
                <w:bCs/>
                <w:szCs w:val="28"/>
                <w:lang w:val="nb-NO"/>
              </w:rPr>
            </w:pPr>
          </w:p>
        </w:tc>
      </w:tr>
    </w:tbl>
    <w:p w14:paraId="2DF3616C" w14:textId="77777777" w:rsidR="00A721D8" w:rsidRDefault="00A721D8" w:rsidP="00A721D8">
      <w:pPr>
        <w:spacing w:line="280" w:lineRule="exact"/>
        <w:rPr>
          <w:b/>
          <w:bCs/>
          <w:sz w:val="26"/>
          <w:szCs w:val="26"/>
          <w:lang w:val="nb-NO"/>
        </w:rPr>
      </w:pPr>
    </w:p>
    <w:p w14:paraId="6515513E" w14:textId="77777777" w:rsidR="002247FA" w:rsidRDefault="004D4197">
      <w:pPr>
        <w:spacing w:line="280" w:lineRule="exact"/>
        <w:jc w:val="center"/>
        <w:rPr>
          <w:b/>
          <w:bCs/>
          <w:sz w:val="26"/>
          <w:szCs w:val="26"/>
          <w:lang w:val="nb-NO"/>
        </w:rPr>
      </w:pPr>
      <w:r>
        <w:rPr>
          <w:b/>
          <w:bCs/>
          <w:sz w:val="26"/>
          <w:szCs w:val="26"/>
          <w:lang w:val="nb-NO"/>
        </w:rPr>
        <w:t>PHIẾU ĐÁNH GIÁ TIÊU CHÍ</w:t>
      </w:r>
    </w:p>
    <w:p w14:paraId="1E61786F" w14:textId="2AA9FF74" w:rsidR="00A721D8" w:rsidRPr="00A721D8" w:rsidRDefault="00A721D8" w:rsidP="00A721D8">
      <w:pPr>
        <w:spacing w:before="120"/>
        <w:ind w:firstLine="720"/>
        <w:jc w:val="both"/>
        <w:rPr>
          <w:b/>
          <w:bCs/>
          <w:iCs/>
          <w:szCs w:val="28"/>
          <w:bdr w:val="none" w:sz="0" w:space="0" w:color="auto" w:frame="1"/>
          <w:lang w:val="sv-SE"/>
        </w:rPr>
      </w:pPr>
      <w:r w:rsidRPr="00BA22AF">
        <w:rPr>
          <w:b/>
          <w:bCs/>
          <w:iCs/>
          <w:szCs w:val="28"/>
          <w:bdr w:val="none" w:sz="0" w:space="0" w:color="auto" w:frame="1"/>
          <w:lang w:val="sv-SE"/>
        </w:rPr>
        <w:t>Tiêu chí 1.6: Quản lí hành chính, tài chính và tài sản</w:t>
      </w:r>
    </w:p>
    <w:p w14:paraId="03A9903E" w14:textId="77777777" w:rsidR="00A721D8" w:rsidRPr="00BA22AF" w:rsidRDefault="00A721D8" w:rsidP="00A721D8">
      <w:pPr>
        <w:spacing w:before="120"/>
        <w:jc w:val="both"/>
        <w:rPr>
          <w:b/>
          <w:bCs/>
          <w:szCs w:val="28"/>
          <w:lang w:val="sv-SE"/>
        </w:rPr>
      </w:pPr>
      <w:r w:rsidRPr="00BA22AF">
        <w:rPr>
          <w:b/>
          <w:bCs/>
          <w:szCs w:val="28"/>
          <w:lang w:val="sv-SE"/>
        </w:rPr>
        <w:t>Mức 1:</w:t>
      </w:r>
    </w:p>
    <w:p w14:paraId="1B0F5738" w14:textId="77777777" w:rsidR="00A721D8" w:rsidRPr="00BA22AF" w:rsidRDefault="00A721D8" w:rsidP="00A721D8">
      <w:pPr>
        <w:spacing w:before="120"/>
        <w:ind w:firstLine="540"/>
        <w:jc w:val="both"/>
        <w:rPr>
          <w:szCs w:val="28"/>
          <w:lang w:val="sv-SE"/>
        </w:rPr>
      </w:pPr>
      <w:r w:rsidRPr="00BA22AF">
        <w:rPr>
          <w:szCs w:val="28"/>
          <w:lang w:val="sv-SE"/>
        </w:rPr>
        <w:tab/>
        <w:t xml:space="preserve">a) Hệ thống hồ sơ của nhà trường được lưu trữ theo quy định. </w:t>
      </w:r>
    </w:p>
    <w:p w14:paraId="3691B7C4" w14:textId="77777777" w:rsidR="00A721D8" w:rsidRPr="003C305F" w:rsidRDefault="00A721D8" w:rsidP="00A721D8">
      <w:pPr>
        <w:spacing w:before="120"/>
        <w:ind w:firstLine="540"/>
        <w:jc w:val="both"/>
        <w:rPr>
          <w:spacing w:val="2"/>
          <w:szCs w:val="28"/>
          <w:lang w:val="sv-SE"/>
        </w:rPr>
      </w:pPr>
      <w:r w:rsidRPr="00BA22AF">
        <w:rPr>
          <w:szCs w:val="28"/>
          <w:lang w:val="sv-SE"/>
        </w:rPr>
        <w:tab/>
      </w:r>
      <w:r w:rsidRPr="003C305F">
        <w:rPr>
          <w:spacing w:val="2"/>
          <w:szCs w:val="28"/>
          <w:lang w:val="sv-SE"/>
        </w:rPr>
        <w:t xml:space="preserve">b) Lập dự toán, thực hiện thu chi, quyết toán, thống kê, báo cáo </w:t>
      </w:r>
      <w:r>
        <w:rPr>
          <w:spacing w:val="2"/>
          <w:szCs w:val="28"/>
          <w:lang w:val="sv-SE"/>
        </w:rPr>
        <w:t xml:space="preserve">tài </w:t>
      </w:r>
      <w:r w:rsidRPr="003C305F">
        <w:rPr>
          <w:spacing w:val="2"/>
          <w:szCs w:val="28"/>
          <w:lang w:val="sv-SE"/>
        </w:rPr>
        <w:t>chính và tài sản; công khai và định kì tự kiểm tra tài chính, tài sản theo quy định; quy chế chi tiêu nội bộ được bổ sung, cập nhật phù hợp với điều kiện thực tế và các quy định hiện hành.</w:t>
      </w:r>
    </w:p>
    <w:p w14:paraId="0F43AB6E" w14:textId="77777777" w:rsidR="00A721D8" w:rsidRPr="00BA22AF" w:rsidRDefault="00A721D8" w:rsidP="00A721D8">
      <w:pPr>
        <w:spacing w:before="120"/>
        <w:ind w:firstLine="540"/>
        <w:jc w:val="both"/>
        <w:rPr>
          <w:szCs w:val="28"/>
          <w:lang w:val="sv-SE"/>
        </w:rPr>
      </w:pPr>
      <w:r w:rsidRPr="00BA22AF">
        <w:rPr>
          <w:szCs w:val="28"/>
          <w:lang w:val="sv-SE"/>
        </w:rPr>
        <w:tab/>
        <w:t>c) Quản lí, sử dụng tài chính, tài sản đúng mục đích và có hiệu quả để phục vụ các hoạt động giáo dục.</w:t>
      </w:r>
    </w:p>
    <w:p w14:paraId="32144A8B" w14:textId="77777777" w:rsidR="00A721D8" w:rsidRPr="00BA22AF" w:rsidRDefault="00A721D8" w:rsidP="00A721D8">
      <w:pPr>
        <w:spacing w:before="120"/>
        <w:jc w:val="both"/>
        <w:rPr>
          <w:szCs w:val="28"/>
          <w:lang w:val="sv-SE"/>
        </w:rPr>
      </w:pPr>
      <w:r w:rsidRPr="00BA22AF">
        <w:rPr>
          <w:b/>
          <w:bCs/>
          <w:szCs w:val="28"/>
          <w:lang w:val="sv-SE"/>
        </w:rPr>
        <w:tab/>
        <w:t>Mức 2:</w:t>
      </w:r>
    </w:p>
    <w:p w14:paraId="4F7C7715" w14:textId="77777777" w:rsidR="00A721D8" w:rsidRPr="00BA22AF" w:rsidRDefault="00A721D8" w:rsidP="00A721D8">
      <w:pPr>
        <w:spacing w:before="120"/>
        <w:ind w:firstLine="540"/>
        <w:jc w:val="both"/>
        <w:rPr>
          <w:bCs/>
          <w:szCs w:val="28"/>
          <w:lang w:val="sv-SE"/>
        </w:rPr>
      </w:pPr>
      <w:r w:rsidRPr="00BA22AF">
        <w:rPr>
          <w:bCs/>
          <w:szCs w:val="28"/>
          <w:lang w:val="sv-SE"/>
        </w:rPr>
        <w:tab/>
        <w:t>a) Ứng dụng CNTT hiệu quả trong công tác quản lí hành chính, tài chính và tài sản của nhà trường.</w:t>
      </w:r>
    </w:p>
    <w:p w14:paraId="74F1507E" w14:textId="77777777" w:rsidR="00A721D8" w:rsidRPr="003C305F" w:rsidRDefault="00A721D8" w:rsidP="00A721D8">
      <w:pPr>
        <w:spacing w:before="120"/>
        <w:ind w:firstLine="540"/>
        <w:jc w:val="both"/>
        <w:rPr>
          <w:bCs/>
          <w:spacing w:val="4"/>
          <w:szCs w:val="28"/>
          <w:lang w:val="sv-SE"/>
        </w:rPr>
      </w:pPr>
      <w:r w:rsidRPr="00BA22AF">
        <w:rPr>
          <w:bCs/>
          <w:szCs w:val="28"/>
          <w:lang w:val="sv-SE"/>
        </w:rPr>
        <w:tab/>
      </w:r>
      <w:r w:rsidRPr="003C305F">
        <w:rPr>
          <w:bCs/>
          <w:spacing w:val="4"/>
          <w:szCs w:val="28"/>
          <w:lang w:val="sv-SE"/>
        </w:rPr>
        <w:t>b) Trong 05 năm liên tiếp đến thời điểm đánh giá không có vi phạm liên quan đến việc quản lí hành chính, tài chính và tài sản theo kết luận của thanh tra, kiểm toán.</w:t>
      </w:r>
    </w:p>
    <w:p w14:paraId="68A9F93E" w14:textId="77777777" w:rsidR="00A721D8" w:rsidRPr="00BA22AF" w:rsidRDefault="00A721D8" w:rsidP="00A721D8">
      <w:pPr>
        <w:spacing w:before="120"/>
        <w:jc w:val="both"/>
        <w:rPr>
          <w:b/>
          <w:bCs/>
          <w:szCs w:val="28"/>
          <w:lang w:val="sv-SE"/>
        </w:rPr>
      </w:pPr>
      <w:r w:rsidRPr="00BA22AF">
        <w:rPr>
          <w:b/>
          <w:bCs/>
          <w:szCs w:val="28"/>
          <w:lang w:val="sv-SE"/>
        </w:rPr>
        <w:tab/>
        <w:t>Mức 3:</w:t>
      </w:r>
    </w:p>
    <w:p w14:paraId="5BCBA8F2" w14:textId="77777777" w:rsidR="00A721D8" w:rsidRPr="00BA22AF" w:rsidRDefault="00A721D8" w:rsidP="00A721D8">
      <w:pPr>
        <w:spacing w:before="120"/>
        <w:ind w:firstLine="540"/>
        <w:jc w:val="both"/>
        <w:rPr>
          <w:bCs/>
          <w:szCs w:val="28"/>
          <w:lang w:val="sv-SE"/>
        </w:rPr>
      </w:pPr>
      <w:r w:rsidRPr="00BA22AF">
        <w:rPr>
          <w:bCs/>
          <w:szCs w:val="28"/>
          <w:lang w:val="sv-SE"/>
        </w:rPr>
        <w:tab/>
        <w:t>Có kế hoạch ngắn hạn, trung hạn, dài hạn để tạo ra các nguồn lực tài chính hợp pháp phù hợp với điều kiện nhà trường, thực tế địa phương.</w:t>
      </w:r>
    </w:p>
    <w:p w14:paraId="2F1D3B8F" w14:textId="77777777" w:rsidR="00A721D8" w:rsidRPr="00BA22AF" w:rsidRDefault="00A721D8" w:rsidP="00A721D8">
      <w:pPr>
        <w:tabs>
          <w:tab w:val="left" w:pos="540"/>
        </w:tabs>
        <w:spacing w:before="120"/>
        <w:ind w:firstLine="540"/>
        <w:jc w:val="both"/>
        <w:rPr>
          <w:b/>
          <w:bCs/>
          <w:szCs w:val="28"/>
          <w:lang w:val="sv-SE"/>
        </w:rPr>
      </w:pPr>
      <w:r w:rsidRPr="00BA22AF">
        <w:rPr>
          <w:b/>
          <w:bCs/>
          <w:szCs w:val="28"/>
          <w:lang w:val="sv-SE"/>
        </w:rPr>
        <w:tab/>
        <w:t>1. Mô tả hiện trạng</w:t>
      </w:r>
      <w:r>
        <w:rPr>
          <w:b/>
          <w:bCs/>
          <w:szCs w:val="28"/>
          <w:lang w:val="sv-SE"/>
        </w:rPr>
        <w:t>:</w:t>
      </w:r>
    </w:p>
    <w:p w14:paraId="0F82A928" w14:textId="77777777" w:rsidR="00A721D8" w:rsidRPr="004123A1" w:rsidRDefault="00A721D8" w:rsidP="00A721D8">
      <w:pPr>
        <w:spacing w:before="120"/>
        <w:ind w:firstLine="540"/>
        <w:jc w:val="both"/>
        <w:rPr>
          <w:szCs w:val="28"/>
          <w:lang w:val="sv-SE"/>
        </w:rPr>
      </w:pPr>
      <w:r>
        <w:rPr>
          <w:szCs w:val="28"/>
          <w:lang w:val="sv-SE"/>
        </w:rPr>
        <w:tab/>
        <w:t>Hệ thống hồ</w:t>
      </w:r>
      <w:r w:rsidRPr="00BA22AF">
        <w:rPr>
          <w:szCs w:val="28"/>
          <w:lang w:val="sv-SE"/>
        </w:rPr>
        <w:t xml:space="preserve"> sơ, văn bản</w:t>
      </w:r>
      <w:r>
        <w:rPr>
          <w:szCs w:val="28"/>
          <w:lang w:val="sv-SE"/>
        </w:rPr>
        <w:t xml:space="preserve"> được</w:t>
      </w:r>
      <w:r w:rsidRPr="00BA22AF">
        <w:rPr>
          <w:szCs w:val="28"/>
          <w:lang w:val="sv-SE"/>
        </w:rPr>
        <w:t xml:space="preserve"> lưu trữ đầy đủ, khoa học</w:t>
      </w:r>
      <w:r>
        <w:rPr>
          <w:szCs w:val="28"/>
          <w:lang w:val="sv-SE"/>
        </w:rPr>
        <w:t xml:space="preserve"> theo quy định của Luật lưu trữ: </w:t>
      </w:r>
      <w:r w:rsidRPr="00BA22AF">
        <w:rPr>
          <w:szCs w:val="28"/>
          <w:lang w:val="vi-VN"/>
        </w:rPr>
        <w:t>Nhà trường có đủ</w:t>
      </w:r>
      <w:r w:rsidRPr="00BA22AF">
        <w:rPr>
          <w:szCs w:val="28"/>
          <w:lang w:val="sv-SE"/>
        </w:rPr>
        <w:t xml:space="preserve"> chủng loại hồ sơ</w:t>
      </w:r>
      <w:r>
        <w:rPr>
          <w:szCs w:val="28"/>
          <w:lang w:val="sv-SE"/>
        </w:rPr>
        <w:t xml:space="preserve"> và được lưu trữ theo quy định, </w:t>
      </w:r>
      <w:r w:rsidRPr="00CC7432">
        <w:rPr>
          <w:szCs w:val="28"/>
          <w:lang w:val="sv-SE"/>
        </w:rPr>
        <w:t>c</w:t>
      </w:r>
      <w:r w:rsidRPr="00BA22AF">
        <w:rPr>
          <w:szCs w:val="28"/>
          <w:lang w:val="vi-VN"/>
        </w:rPr>
        <w:t xml:space="preserve">ó sổ công văn </w:t>
      </w:r>
      <w:r w:rsidRPr="00BA22AF">
        <w:rPr>
          <w:szCs w:val="28"/>
          <w:lang w:val="sv-SE"/>
        </w:rPr>
        <w:t xml:space="preserve">đi, </w:t>
      </w:r>
      <w:r w:rsidRPr="00BA22AF">
        <w:rPr>
          <w:szCs w:val="28"/>
          <w:lang w:val="vi-VN"/>
        </w:rPr>
        <w:t>đến</w:t>
      </w:r>
      <w:r>
        <w:rPr>
          <w:szCs w:val="28"/>
          <w:lang w:val="sv-SE"/>
        </w:rPr>
        <w:t>, l</w:t>
      </w:r>
      <w:r w:rsidRPr="00BA22AF">
        <w:rPr>
          <w:szCs w:val="28"/>
          <w:lang w:val="vi-VN"/>
        </w:rPr>
        <w:t>ưu trữ các văn bản đến, cập nhật thông tin thường xuyên đầy đủ theo yêu cầu</w:t>
      </w:r>
      <w:r>
        <w:rPr>
          <w:szCs w:val="28"/>
        </w:rPr>
        <w:t xml:space="preserve"> </w:t>
      </w:r>
      <w:r w:rsidRPr="004123A1">
        <w:rPr>
          <w:szCs w:val="28"/>
          <w:lang w:val="vi-VN"/>
        </w:rPr>
        <w:t>[H</w:t>
      </w:r>
      <w:r w:rsidRPr="004123A1">
        <w:rPr>
          <w:szCs w:val="28"/>
          <w:lang w:val="sv-SE"/>
        </w:rPr>
        <w:t>1-1.6-01</w:t>
      </w:r>
      <w:r w:rsidRPr="004123A1">
        <w:rPr>
          <w:szCs w:val="28"/>
          <w:lang w:val="vi-VN"/>
        </w:rPr>
        <w:t>]</w:t>
      </w:r>
      <w:r w:rsidRPr="004123A1">
        <w:rPr>
          <w:szCs w:val="28"/>
          <w:lang w:val="sv-SE"/>
        </w:rPr>
        <w:t xml:space="preserve">. </w:t>
      </w:r>
    </w:p>
    <w:p w14:paraId="710FEB5F" w14:textId="6CED3510" w:rsidR="00A721D8" w:rsidRPr="000C7E90" w:rsidRDefault="00A721D8" w:rsidP="00A721D8">
      <w:pPr>
        <w:spacing w:before="120"/>
        <w:ind w:firstLine="540"/>
        <w:jc w:val="both"/>
        <w:rPr>
          <w:bCs/>
          <w:szCs w:val="28"/>
          <w:lang w:val="sv-SE"/>
        </w:rPr>
      </w:pPr>
      <w:r w:rsidRPr="004123A1">
        <w:rPr>
          <w:szCs w:val="28"/>
          <w:lang w:val="sv-SE"/>
        </w:rPr>
        <w:tab/>
      </w:r>
      <w:r w:rsidRPr="00CC7432">
        <w:rPr>
          <w:szCs w:val="28"/>
          <w:lang w:val="sv-SE"/>
        </w:rPr>
        <w:t>Nhà trường l</w:t>
      </w:r>
      <w:r w:rsidRPr="004123A1">
        <w:rPr>
          <w:szCs w:val="28"/>
          <w:lang w:val="vi-VN"/>
        </w:rPr>
        <w:t xml:space="preserve">ập dự toán, thực hiện thu chi, quyết toán, thống kê, báo cáo tài chính và </w:t>
      </w:r>
      <w:r w:rsidRPr="004123A1">
        <w:rPr>
          <w:szCs w:val="28"/>
          <w:lang w:val="da-DK"/>
        </w:rPr>
        <w:t>tài sản</w:t>
      </w:r>
      <w:r w:rsidRPr="004123A1">
        <w:rPr>
          <w:szCs w:val="28"/>
          <w:lang w:val="vi-VN"/>
        </w:rPr>
        <w:t xml:space="preserve"> theo quy định</w:t>
      </w:r>
      <w:r w:rsidRPr="00CC7432">
        <w:rPr>
          <w:szCs w:val="28"/>
          <w:lang w:val="sv-SE"/>
        </w:rPr>
        <w:t xml:space="preserve">; </w:t>
      </w:r>
      <w:r w:rsidRPr="004123A1">
        <w:rPr>
          <w:szCs w:val="28"/>
          <w:lang w:val="sv-SE"/>
        </w:rPr>
        <w:t>c</w:t>
      </w:r>
      <w:r w:rsidRPr="004123A1">
        <w:rPr>
          <w:szCs w:val="28"/>
          <w:lang w:val="vi-VN"/>
        </w:rPr>
        <w:t xml:space="preserve">ác khoản thu chi đều lập dự toán, bàn bạc thống nhất trước </w:t>
      </w:r>
      <w:r w:rsidRPr="004123A1">
        <w:rPr>
          <w:szCs w:val="28"/>
          <w:lang w:val="sv-SE"/>
        </w:rPr>
        <w:t>hội đồng sư phạm</w:t>
      </w:r>
      <w:r w:rsidRPr="004123A1">
        <w:rPr>
          <w:szCs w:val="28"/>
          <w:lang w:val="vi-VN"/>
        </w:rPr>
        <w:t xml:space="preserve">, có sự đồng thuận của phụ huynh, tờ trình có sự phê duyệt của </w:t>
      </w:r>
      <w:r w:rsidRPr="004123A1">
        <w:rPr>
          <w:szCs w:val="28"/>
          <w:lang w:val="sv-SE"/>
        </w:rPr>
        <w:t xml:space="preserve">Phòng </w:t>
      </w:r>
      <w:r w:rsidRPr="004123A1">
        <w:rPr>
          <w:szCs w:val="28"/>
          <w:lang w:val="vi-VN"/>
        </w:rPr>
        <w:t>GD</w:t>
      </w:r>
      <w:r w:rsidRPr="004123A1">
        <w:rPr>
          <w:szCs w:val="28"/>
          <w:lang w:val="sv-SE"/>
        </w:rPr>
        <w:t>&amp;</w:t>
      </w:r>
      <w:r w:rsidRPr="004123A1">
        <w:rPr>
          <w:szCs w:val="28"/>
          <w:lang w:val="vi-VN"/>
        </w:rPr>
        <w:t>ĐT, lập sổ, thực hiện thu chi đúng mục đích, đảm bảo nguyên tắc tài chính kế toán</w:t>
      </w:r>
      <w:r w:rsidRPr="00CC7432">
        <w:rPr>
          <w:szCs w:val="28"/>
          <w:lang w:val="sv-SE"/>
        </w:rPr>
        <w:t xml:space="preserve">, </w:t>
      </w:r>
      <w:r w:rsidRPr="004123A1">
        <w:rPr>
          <w:szCs w:val="28"/>
          <w:lang w:val="vi-VN"/>
        </w:rPr>
        <w:t>cuối</w:t>
      </w:r>
      <w:r w:rsidRPr="00CC7432">
        <w:rPr>
          <w:szCs w:val="28"/>
          <w:lang w:val="sv-SE"/>
        </w:rPr>
        <w:t xml:space="preserve"> mỗi</w:t>
      </w:r>
      <w:r w:rsidRPr="004123A1">
        <w:rPr>
          <w:szCs w:val="28"/>
          <w:lang w:val="vi-VN"/>
        </w:rPr>
        <w:t xml:space="preserve"> năm học, thông báo công khai quyết toán các nguồn thu và tình hình sử dụng các nguồn kinh phí hợp pháp đã huy động được tới toàn thể cán bộ giáo viên, nhân viên và ban đại diện CMHS nhà trường</w:t>
      </w:r>
      <w:r w:rsidRPr="004123A1">
        <w:rPr>
          <w:szCs w:val="28"/>
          <w:lang w:val="sv-SE"/>
        </w:rPr>
        <w:t>. Công khai và định kỳ tự kiểm tra tài chính, tài sản theo quy định; c</w:t>
      </w:r>
      <w:r w:rsidRPr="004123A1">
        <w:rPr>
          <w:szCs w:val="28"/>
          <w:lang w:val="vi-VN"/>
        </w:rPr>
        <w:t>uối mỗi năm học, nhà trường có đánh giá việc thực hiện về thu chi, quyết toán, dự toán mua sắm tài sản, thống kê báo cáo tài chính, tài sản theo quy định</w:t>
      </w:r>
      <w:bookmarkStart w:id="0" w:name="OLE_LINK95"/>
      <w:bookmarkStart w:id="1" w:name="OLE_LINK96"/>
      <w:bookmarkEnd w:id="0"/>
      <w:bookmarkEnd w:id="1"/>
      <w:r w:rsidRPr="004123A1">
        <w:rPr>
          <w:szCs w:val="28"/>
          <w:lang w:val="vi-VN"/>
        </w:rPr>
        <w:t>và tiến hành kiểm kê tài sản theo đúng quy định</w:t>
      </w:r>
      <w:r w:rsidRPr="004123A1">
        <w:rPr>
          <w:szCs w:val="28"/>
          <w:lang w:val="sv-SE"/>
        </w:rPr>
        <w:t>. Quy chế chi tiêu nội bộ được bổ sung, cập nhật phù hợp với điều kiện thực tế và các quy định hiện hành</w:t>
      </w:r>
      <w:r w:rsidRPr="00CC7432">
        <w:rPr>
          <w:szCs w:val="28"/>
          <w:lang w:val="sv-SE"/>
        </w:rPr>
        <w:t>; đ</w:t>
      </w:r>
      <w:r w:rsidRPr="004123A1">
        <w:rPr>
          <w:szCs w:val="28"/>
          <w:lang w:val="vi-VN"/>
        </w:rPr>
        <w:t>ầu mỗi năm học, nhà trường đều thông qua quy chế chi tiêu nội bộ và có sự điều chỉnh bổ sung</w:t>
      </w:r>
      <w:r>
        <w:rPr>
          <w:szCs w:val="28"/>
        </w:rPr>
        <w:t xml:space="preserve"> </w:t>
      </w:r>
      <w:r w:rsidRPr="004123A1">
        <w:rPr>
          <w:szCs w:val="28"/>
          <w:lang w:val="vi-VN"/>
        </w:rPr>
        <w:t>[H</w:t>
      </w:r>
      <w:r w:rsidRPr="004123A1">
        <w:rPr>
          <w:szCs w:val="28"/>
          <w:lang w:val="sv-SE"/>
        </w:rPr>
        <w:t>1-1.6-02</w:t>
      </w:r>
      <w:r w:rsidRPr="004123A1">
        <w:rPr>
          <w:szCs w:val="28"/>
          <w:lang w:val="vi-VN"/>
        </w:rPr>
        <w:t xml:space="preserve">]. </w:t>
      </w:r>
      <w:r w:rsidRPr="004123A1">
        <w:rPr>
          <w:bCs/>
          <w:szCs w:val="28"/>
          <w:lang w:val="da-DK"/>
        </w:rPr>
        <w:t>Nhà trường q</w:t>
      </w:r>
      <w:r w:rsidRPr="004123A1">
        <w:rPr>
          <w:szCs w:val="28"/>
          <w:lang w:val="vi-VN"/>
        </w:rPr>
        <w:t>uản lý, sử dụng tài chính</w:t>
      </w:r>
      <w:r w:rsidRPr="004123A1">
        <w:rPr>
          <w:szCs w:val="28"/>
          <w:lang w:val="da-DK"/>
        </w:rPr>
        <w:t xml:space="preserve"> và</w:t>
      </w:r>
      <w:r w:rsidRPr="004123A1">
        <w:rPr>
          <w:szCs w:val="28"/>
          <w:lang w:val="vi-VN"/>
        </w:rPr>
        <w:t xml:space="preserve"> tài sản</w:t>
      </w:r>
      <w:r w:rsidRPr="004123A1">
        <w:rPr>
          <w:szCs w:val="28"/>
          <w:lang w:val="da-DK"/>
        </w:rPr>
        <w:t xml:space="preserve"> đảm bảo đ</w:t>
      </w:r>
      <w:r w:rsidRPr="004123A1">
        <w:rPr>
          <w:szCs w:val="28"/>
          <w:lang w:val="vi-VN"/>
        </w:rPr>
        <w:t>úng mục đíc</w:t>
      </w:r>
      <w:r w:rsidRPr="00CC7432">
        <w:rPr>
          <w:szCs w:val="28"/>
          <w:lang w:val="sv-SE"/>
        </w:rPr>
        <w:t xml:space="preserve">h, </w:t>
      </w:r>
      <w:r w:rsidRPr="004123A1">
        <w:rPr>
          <w:szCs w:val="28"/>
          <w:lang w:val="da-DK"/>
        </w:rPr>
        <w:t xml:space="preserve">đạt hiệu quả </w:t>
      </w:r>
      <w:r w:rsidRPr="004123A1">
        <w:rPr>
          <w:szCs w:val="28"/>
          <w:lang w:val="vi-VN"/>
        </w:rPr>
        <w:t>để phục vụ các hoạt động giáo dục</w:t>
      </w:r>
      <w:r w:rsidRPr="00CC7432">
        <w:rPr>
          <w:szCs w:val="28"/>
          <w:lang w:val="sv-SE"/>
        </w:rPr>
        <w:t xml:space="preserve">. </w:t>
      </w:r>
      <w:r w:rsidRPr="004123A1">
        <w:rPr>
          <w:bCs/>
          <w:szCs w:val="28"/>
          <w:lang w:val="sv-SE"/>
        </w:rPr>
        <w:lastRenderedPageBreak/>
        <w:t xml:space="preserve">Trong 05 năm liên tiếp đến thời điểm đánh giá nhà trường không có vi phạm liên quan đến việc quản lí hành chính, tài chính và tài sản theo kết luận của thanh tra, kiểm toán </w:t>
      </w:r>
      <w:r w:rsidRPr="004123A1">
        <w:rPr>
          <w:szCs w:val="28"/>
          <w:lang w:val="vi-VN"/>
        </w:rPr>
        <w:t>[H</w:t>
      </w:r>
      <w:r w:rsidRPr="004123A1">
        <w:rPr>
          <w:szCs w:val="28"/>
          <w:lang w:val="sv-SE"/>
        </w:rPr>
        <w:t>1-1.6-03</w:t>
      </w:r>
      <w:r w:rsidRPr="004123A1">
        <w:rPr>
          <w:szCs w:val="28"/>
          <w:lang w:val="vi-VN"/>
        </w:rPr>
        <w:t>].</w:t>
      </w:r>
    </w:p>
    <w:p w14:paraId="0AC598A5" w14:textId="77777777" w:rsidR="00A721D8" w:rsidRPr="00CC7432" w:rsidRDefault="00A721D8" w:rsidP="00A721D8">
      <w:pPr>
        <w:spacing w:before="120"/>
        <w:ind w:firstLine="720"/>
        <w:jc w:val="both"/>
        <w:rPr>
          <w:szCs w:val="28"/>
          <w:lang w:val="sv-SE"/>
        </w:rPr>
      </w:pPr>
      <w:r w:rsidRPr="004123A1">
        <w:rPr>
          <w:szCs w:val="28"/>
          <w:lang w:val="vi-VN"/>
        </w:rPr>
        <w:t>Ứng dụng công nghệ thông tin hiệu quả trong công tác quản lý hành chính, tài chính tài sản của nhà trường [H1-1.6-0</w:t>
      </w:r>
      <w:r w:rsidRPr="00CC7432">
        <w:rPr>
          <w:szCs w:val="28"/>
          <w:lang w:val="sv-SE"/>
        </w:rPr>
        <w:t>4]</w:t>
      </w:r>
      <w:r w:rsidRPr="004123A1">
        <w:rPr>
          <w:szCs w:val="28"/>
          <w:lang w:val="vi-VN"/>
        </w:rPr>
        <w:t>.</w:t>
      </w:r>
    </w:p>
    <w:p w14:paraId="597DB29A" w14:textId="77777777" w:rsidR="00A721D8" w:rsidRPr="0010597A" w:rsidRDefault="00A721D8" w:rsidP="00A721D8">
      <w:pPr>
        <w:spacing w:before="120"/>
        <w:ind w:firstLine="720"/>
        <w:jc w:val="both"/>
        <w:rPr>
          <w:bCs/>
          <w:szCs w:val="28"/>
          <w:lang w:val="sv-SE"/>
        </w:rPr>
      </w:pPr>
      <w:r w:rsidRPr="00CC7432">
        <w:rPr>
          <w:szCs w:val="28"/>
          <w:lang w:val="sv-SE"/>
        </w:rPr>
        <w:t>Nhà trường xây dựng được</w:t>
      </w:r>
      <w:r w:rsidRPr="003316C3">
        <w:rPr>
          <w:bCs/>
          <w:szCs w:val="28"/>
          <w:lang w:val="sv-SE"/>
        </w:rPr>
        <w:t xml:space="preserve"> kế hoạch ngắn hạn, trung hạn, dài hạn để tạo ra các nguồn lực tài chính hợp pháp phù hợp với điều kiện nhà trường, thực tế địa phương </w:t>
      </w:r>
      <w:r w:rsidRPr="003316C3">
        <w:rPr>
          <w:szCs w:val="28"/>
          <w:lang w:val="vi-VN"/>
        </w:rPr>
        <w:t>[H1-1.6-0</w:t>
      </w:r>
      <w:r w:rsidRPr="00CC7432">
        <w:rPr>
          <w:szCs w:val="28"/>
          <w:lang w:val="sv-SE"/>
        </w:rPr>
        <w:t>5]</w:t>
      </w:r>
      <w:r w:rsidRPr="003316C3">
        <w:rPr>
          <w:szCs w:val="28"/>
          <w:lang w:val="vi-VN"/>
        </w:rPr>
        <w:t>.</w:t>
      </w:r>
    </w:p>
    <w:p w14:paraId="4639B4C8" w14:textId="77777777" w:rsidR="00A721D8" w:rsidRPr="00CC7432" w:rsidRDefault="00A721D8" w:rsidP="00A721D8">
      <w:pPr>
        <w:spacing w:before="120"/>
        <w:ind w:firstLine="720"/>
        <w:jc w:val="both"/>
        <w:rPr>
          <w:b/>
          <w:szCs w:val="28"/>
          <w:lang w:val="sv-SE"/>
        </w:rPr>
      </w:pPr>
      <w:r w:rsidRPr="00F12699">
        <w:rPr>
          <w:b/>
          <w:szCs w:val="28"/>
          <w:lang w:val="vi-VN"/>
        </w:rPr>
        <w:t>2. Điểm mạnh</w:t>
      </w:r>
      <w:r w:rsidRPr="00CC7432">
        <w:rPr>
          <w:b/>
          <w:szCs w:val="28"/>
          <w:lang w:val="sv-SE"/>
        </w:rPr>
        <w:t>:</w:t>
      </w:r>
    </w:p>
    <w:p w14:paraId="2ED939A5" w14:textId="77777777" w:rsidR="00A721D8" w:rsidRPr="00F12699" w:rsidRDefault="00A721D8" w:rsidP="00A721D8">
      <w:pPr>
        <w:spacing w:before="120"/>
        <w:ind w:firstLine="540"/>
        <w:jc w:val="both"/>
        <w:rPr>
          <w:szCs w:val="28"/>
          <w:lang w:val="vi-VN"/>
        </w:rPr>
      </w:pPr>
      <w:r w:rsidRPr="00F12699">
        <w:rPr>
          <w:i/>
          <w:szCs w:val="28"/>
          <w:lang w:val="vi-VN"/>
        </w:rPr>
        <w:tab/>
      </w:r>
      <w:r w:rsidRPr="00F12699">
        <w:rPr>
          <w:szCs w:val="28"/>
          <w:lang w:val="vi-VN"/>
        </w:rPr>
        <w:t>Nhà trường có đủ chủng loại hồ sơ theo quy định. Các loại hồ sơ của nhà trường được lưu trữ đầy đủ và khoa học.</w:t>
      </w:r>
    </w:p>
    <w:p w14:paraId="5E853260" w14:textId="77777777" w:rsidR="00A721D8" w:rsidRPr="00CC7432" w:rsidRDefault="00A721D8" w:rsidP="00A721D8">
      <w:pPr>
        <w:spacing w:before="120"/>
        <w:ind w:firstLine="540"/>
        <w:jc w:val="both"/>
        <w:rPr>
          <w:color w:val="FF0000"/>
          <w:spacing w:val="2"/>
          <w:szCs w:val="28"/>
          <w:lang w:val="vi-VN"/>
        </w:rPr>
      </w:pPr>
      <w:r w:rsidRPr="00F12699">
        <w:rPr>
          <w:szCs w:val="28"/>
          <w:lang w:val="vi-VN"/>
        </w:rPr>
        <w:tab/>
      </w:r>
      <w:r w:rsidRPr="008E34AE">
        <w:rPr>
          <w:spacing w:val="2"/>
          <w:szCs w:val="28"/>
          <w:lang w:val="vi-VN"/>
        </w:rPr>
        <w:t>Lập dự  toán, thực hiện thu chi, quyết toán, thống kê, báo cáo tài chính và tài sản theo quy định. H</w:t>
      </w:r>
      <w:r w:rsidRPr="00D857C9">
        <w:rPr>
          <w:spacing w:val="2"/>
          <w:szCs w:val="28"/>
          <w:lang w:val="vi-VN"/>
        </w:rPr>
        <w:t xml:space="preserve">àng </w:t>
      </w:r>
      <w:r w:rsidRPr="008E34AE">
        <w:rPr>
          <w:spacing w:val="2"/>
          <w:szCs w:val="28"/>
          <w:lang w:val="vi-VN"/>
        </w:rPr>
        <w:t>năm có báo cáo quyết toán, thống kê tài chính. Báo cáo công khai tài chính. Xây dựng quy chế chi tiêu nội bộ đúng theo các quy định hiện hành. Quy chế chi tiêu nội bộ được điều chỉnh bổ sung, cập nhật phù hợp với điều kiện thực tế.</w:t>
      </w:r>
      <w:r w:rsidRPr="00CC7432">
        <w:rPr>
          <w:spacing w:val="2"/>
          <w:szCs w:val="28"/>
          <w:lang w:val="vi-VN"/>
        </w:rPr>
        <w:t xml:space="preserve"> Nhà trường xây dựng được</w:t>
      </w:r>
      <w:r w:rsidRPr="008E34AE">
        <w:rPr>
          <w:bCs/>
          <w:spacing w:val="2"/>
          <w:szCs w:val="28"/>
          <w:lang w:val="sv-SE"/>
        </w:rPr>
        <w:t xml:space="preserve"> kế hoạch ngắn hạn, trung hạn, dài hạn để tạo ra các nguồn lực tài chính hợp pháp phù hợp với điều kiện nhà trường, thực tế địa phương.</w:t>
      </w:r>
    </w:p>
    <w:p w14:paraId="36EA78FF" w14:textId="77777777" w:rsidR="00A721D8" w:rsidRPr="00CC7432" w:rsidRDefault="00A721D8" w:rsidP="00A721D8">
      <w:pPr>
        <w:spacing w:before="120"/>
        <w:ind w:firstLine="720"/>
        <w:jc w:val="both"/>
        <w:rPr>
          <w:spacing w:val="-4"/>
          <w:szCs w:val="28"/>
          <w:lang w:val="vi-VN"/>
        </w:rPr>
      </w:pPr>
      <w:r w:rsidRPr="00AF2192">
        <w:rPr>
          <w:bCs/>
          <w:spacing w:val="-4"/>
          <w:szCs w:val="28"/>
          <w:lang w:val="da-DK"/>
        </w:rPr>
        <w:t>Nhà trường q</w:t>
      </w:r>
      <w:r w:rsidRPr="00AF2192">
        <w:rPr>
          <w:spacing w:val="-4"/>
          <w:szCs w:val="28"/>
          <w:lang w:val="vi-VN"/>
        </w:rPr>
        <w:t>uản lý, sử dụng tài chính</w:t>
      </w:r>
      <w:r w:rsidRPr="00AF2192">
        <w:rPr>
          <w:spacing w:val="-4"/>
          <w:szCs w:val="28"/>
          <w:lang w:val="da-DK"/>
        </w:rPr>
        <w:t xml:space="preserve"> và</w:t>
      </w:r>
      <w:r w:rsidRPr="00AF2192">
        <w:rPr>
          <w:spacing w:val="-4"/>
          <w:szCs w:val="28"/>
          <w:lang w:val="vi-VN"/>
        </w:rPr>
        <w:t xml:space="preserve"> tài sản</w:t>
      </w:r>
      <w:r w:rsidRPr="00AF2192">
        <w:rPr>
          <w:spacing w:val="-4"/>
          <w:szCs w:val="28"/>
          <w:lang w:val="da-DK"/>
        </w:rPr>
        <w:t xml:space="preserve"> đảm bảo đ</w:t>
      </w:r>
      <w:r w:rsidRPr="00AF2192">
        <w:rPr>
          <w:spacing w:val="-4"/>
          <w:szCs w:val="28"/>
          <w:lang w:val="vi-VN"/>
        </w:rPr>
        <w:t>úng mục đíc</w:t>
      </w:r>
      <w:r w:rsidRPr="00CC7432">
        <w:rPr>
          <w:spacing w:val="-4"/>
          <w:szCs w:val="28"/>
          <w:lang w:val="vi-VN"/>
        </w:rPr>
        <w:t>h</w:t>
      </w:r>
      <w:r w:rsidRPr="00AF2192">
        <w:rPr>
          <w:spacing w:val="-4"/>
          <w:szCs w:val="28"/>
          <w:lang w:val="da-DK"/>
        </w:rPr>
        <w:t xml:space="preserve"> đạt hiệu quả </w:t>
      </w:r>
      <w:r w:rsidRPr="00AF2192">
        <w:rPr>
          <w:spacing w:val="-4"/>
          <w:szCs w:val="28"/>
          <w:lang w:val="vi-VN"/>
        </w:rPr>
        <w:t>để phục vụ các hoạt động giáo dục</w:t>
      </w:r>
      <w:r w:rsidRPr="00CC7432">
        <w:rPr>
          <w:spacing w:val="-4"/>
          <w:szCs w:val="28"/>
          <w:lang w:val="vi-VN"/>
        </w:rPr>
        <w:t xml:space="preserve">, </w:t>
      </w:r>
      <w:r w:rsidRPr="00AF2192">
        <w:rPr>
          <w:bCs/>
          <w:spacing w:val="-4"/>
          <w:szCs w:val="28"/>
          <w:lang w:val="sv-SE"/>
        </w:rPr>
        <w:t>không có vi phạm liên quan đến việc quản lí hành chính, tài chính và tài sản theo kết luận của thanh tra, kiểm toán</w:t>
      </w:r>
      <w:r>
        <w:rPr>
          <w:bCs/>
          <w:spacing w:val="-4"/>
          <w:szCs w:val="28"/>
          <w:lang w:val="sv-SE"/>
        </w:rPr>
        <w:t>.</w:t>
      </w:r>
    </w:p>
    <w:p w14:paraId="5C30AC98" w14:textId="77777777" w:rsidR="00A721D8" w:rsidRPr="00AC6A2D" w:rsidRDefault="00A721D8" w:rsidP="00A721D8">
      <w:pPr>
        <w:spacing w:before="120"/>
        <w:ind w:firstLine="540"/>
        <w:jc w:val="both"/>
        <w:rPr>
          <w:szCs w:val="28"/>
          <w:lang w:val="vi-VN"/>
        </w:rPr>
      </w:pPr>
      <w:r w:rsidRPr="004A1C49">
        <w:rPr>
          <w:color w:val="FF0000"/>
          <w:szCs w:val="28"/>
          <w:lang w:val="vi-VN"/>
        </w:rPr>
        <w:tab/>
      </w:r>
      <w:r w:rsidRPr="00AC6A2D">
        <w:rPr>
          <w:szCs w:val="28"/>
          <w:lang w:val="vi-VN"/>
        </w:rPr>
        <w:t>Sử dụng các phần mềm quản lí giáo viên, quản lí tài chính</w:t>
      </w:r>
      <w:r w:rsidRPr="00CC7432">
        <w:rPr>
          <w:szCs w:val="28"/>
          <w:lang w:val="vi-VN"/>
        </w:rPr>
        <w:t>, k</w:t>
      </w:r>
      <w:r w:rsidRPr="00AC6A2D">
        <w:rPr>
          <w:szCs w:val="28"/>
          <w:lang w:val="vi-VN"/>
        </w:rPr>
        <w:t>hai thác hiệu quả phần mềm quản lí tài sản, quản lí thiết bị.</w:t>
      </w:r>
    </w:p>
    <w:p w14:paraId="525A3AE1" w14:textId="77777777" w:rsidR="00A721D8" w:rsidRPr="00D1463D" w:rsidRDefault="00A721D8" w:rsidP="00A721D8">
      <w:pPr>
        <w:spacing w:before="120"/>
        <w:ind w:firstLine="540"/>
        <w:jc w:val="both"/>
        <w:rPr>
          <w:szCs w:val="28"/>
        </w:rPr>
      </w:pPr>
      <w:r w:rsidRPr="004A1C49">
        <w:rPr>
          <w:color w:val="FF0000"/>
          <w:szCs w:val="28"/>
          <w:lang w:val="vi-VN"/>
        </w:rPr>
        <w:tab/>
      </w:r>
      <w:r w:rsidRPr="00AC6A2D">
        <w:rPr>
          <w:b/>
          <w:szCs w:val="28"/>
          <w:lang w:val="vi-VN"/>
        </w:rPr>
        <w:t>3. Điểm yếu</w:t>
      </w:r>
      <w:r w:rsidRPr="00CC7432">
        <w:rPr>
          <w:b/>
          <w:szCs w:val="28"/>
          <w:lang w:val="vi-VN"/>
        </w:rPr>
        <w:t xml:space="preserve">: </w:t>
      </w:r>
      <w:r w:rsidRPr="00D1463D">
        <w:rPr>
          <w:szCs w:val="28"/>
          <w:lang w:val="vi-VN"/>
        </w:rPr>
        <w:t>không</w:t>
      </w:r>
      <w:r w:rsidRPr="00D1463D">
        <w:rPr>
          <w:szCs w:val="28"/>
        </w:rPr>
        <w:t>.</w:t>
      </w:r>
    </w:p>
    <w:p w14:paraId="6A91A6A6" w14:textId="77777777" w:rsidR="00A721D8" w:rsidRPr="00CC7432" w:rsidRDefault="00A721D8" w:rsidP="00A721D8">
      <w:pPr>
        <w:spacing w:before="120"/>
        <w:ind w:firstLine="540"/>
        <w:jc w:val="both"/>
        <w:rPr>
          <w:b/>
          <w:szCs w:val="28"/>
          <w:lang w:val="vi-VN"/>
        </w:rPr>
      </w:pPr>
      <w:r w:rsidRPr="00AC6A2D">
        <w:rPr>
          <w:szCs w:val="28"/>
          <w:lang w:val="vi-VN"/>
        </w:rPr>
        <w:tab/>
      </w:r>
      <w:r w:rsidRPr="00AC6A2D">
        <w:rPr>
          <w:b/>
          <w:szCs w:val="28"/>
          <w:lang w:val="vi-VN"/>
        </w:rPr>
        <w:t>4. Kế hoạch cải tiến chất lượng</w:t>
      </w:r>
      <w:r w:rsidRPr="00CC7432">
        <w:rPr>
          <w:b/>
          <w:szCs w:val="28"/>
          <w:lang w:val="vi-VN"/>
        </w:rPr>
        <w:t>:</w:t>
      </w:r>
    </w:p>
    <w:p w14:paraId="70B31122" w14:textId="77777777" w:rsidR="00A721D8" w:rsidRPr="00742E4A" w:rsidRDefault="00A721D8" w:rsidP="00A721D8">
      <w:pPr>
        <w:spacing w:before="120"/>
        <w:ind w:firstLine="540"/>
        <w:jc w:val="both"/>
        <w:rPr>
          <w:szCs w:val="28"/>
          <w:lang w:val="sv-SE"/>
        </w:rPr>
      </w:pPr>
      <w:r w:rsidRPr="00742E4A">
        <w:rPr>
          <w:szCs w:val="28"/>
          <w:lang w:val="vi-VN"/>
        </w:rPr>
        <w:tab/>
      </w:r>
      <w:r w:rsidRPr="00CC7432">
        <w:rPr>
          <w:szCs w:val="28"/>
          <w:lang w:val="vi-VN"/>
        </w:rPr>
        <w:t xml:space="preserve">Lưu trữ hồ sơ theo quy định; hàng năm </w:t>
      </w:r>
      <w:r w:rsidRPr="00742E4A">
        <w:rPr>
          <w:szCs w:val="28"/>
          <w:lang w:val="sv-SE"/>
        </w:rPr>
        <w:t xml:space="preserve">lập dự toán, thực hiện thu chi, quyết toán, thống kê, báo cáo tài chính và tài sản; công khai và định kì tự kiểm tra tài chính, tài sản theo quy định; </w:t>
      </w:r>
      <w:r w:rsidRPr="00742E4A">
        <w:rPr>
          <w:szCs w:val="28"/>
          <w:lang w:val="vi-VN"/>
        </w:rPr>
        <w:t>Xây dựng quy chế chi tiêu nội bộ rõ ràng, chi tiết công khai tài chính theo định kỳ.</w:t>
      </w:r>
      <w:r w:rsidRPr="00742E4A">
        <w:rPr>
          <w:szCs w:val="28"/>
          <w:lang w:val="sv-SE"/>
        </w:rPr>
        <w:t>.</w:t>
      </w:r>
    </w:p>
    <w:p w14:paraId="20A53599" w14:textId="77777777" w:rsidR="00A721D8" w:rsidRPr="00CC7432" w:rsidRDefault="00A721D8" w:rsidP="00A721D8">
      <w:pPr>
        <w:spacing w:before="120"/>
        <w:ind w:firstLine="720"/>
        <w:jc w:val="both"/>
        <w:rPr>
          <w:szCs w:val="28"/>
          <w:lang w:val="sv-SE"/>
        </w:rPr>
      </w:pPr>
      <w:r w:rsidRPr="00CC7432">
        <w:rPr>
          <w:szCs w:val="28"/>
          <w:lang w:val="sv-SE"/>
        </w:rPr>
        <w:t>Sử dụng có hiệu quả các phần mềm</w:t>
      </w:r>
      <w:r w:rsidRPr="00742E4A">
        <w:rPr>
          <w:szCs w:val="28"/>
          <w:lang w:val="vi-VN"/>
        </w:rPr>
        <w:t xml:space="preserve"> trong công tác quản lí hành chính</w:t>
      </w:r>
      <w:r w:rsidRPr="00CC7432">
        <w:rPr>
          <w:szCs w:val="28"/>
          <w:lang w:val="sv-SE"/>
        </w:rPr>
        <w:t xml:space="preserve">, </w:t>
      </w:r>
      <w:r w:rsidRPr="00742E4A">
        <w:rPr>
          <w:bCs/>
          <w:szCs w:val="28"/>
          <w:lang w:val="sv-SE"/>
        </w:rPr>
        <w:t>tài chính và tài sản của nhà trường</w:t>
      </w:r>
      <w:r>
        <w:rPr>
          <w:bCs/>
          <w:szCs w:val="28"/>
          <w:lang w:val="sv-SE"/>
        </w:rPr>
        <w:t>.</w:t>
      </w:r>
    </w:p>
    <w:p w14:paraId="7D05E5F3" w14:textId="77777777" w:rsidR="00A721D8" w:rsidRPr="00742E4A" w:rsidRDefault="00A721D8" w:rsidP="00A721D8">
      <w:pPr>
        <w:spacing w:before="120"/>
        <w:ind w:firstLine="540"/>
        <w:jc w:val="both"/>
        <w:rPr>
          <w:szCs w:val="28"/>
          <w:lang w:val="vi-VN"/>
        </w:rPr>
      </w:pPr>
      <w:r w:rsidRPr="00742E4A">
        <w:rPr>
          <w:szCs w:val="28"/>
          <w:lang w:val="vi-VN"/>
        </w:rPr>
        <w:tab/>
        <w:t xml:space="preserve">Thực hiện tốt các quy định về quản lý tài chính, tài sản trong nhà trường, thực hiện thu chi đúng qui định. </w:t>
      </w:r>
    </w:p>
    <w:p w14:paraId="6653A465" w14:textId="77777777" w:rsidR="00A721D8" w:rsidRPr="00AF2192" w:rsidRDefault="00A721D8" w:rsidP="00A721D8">
      <w:pPr>
        <w:spacing w:before="120"/>
        <w:ind w:firstLine="540"/>
        <w:jc w:val="both"/>
        <w:rPr>
          <w:szCs w:val="28"/>
          <w:lang w:val="vi-VN"/>
        </w:rPr>
      </w:pPr>
      <w:r w:rsidRPr="00742E4A">
        <w:rPr>
          <w:szCs w:val="28"/>
          <w:lang w:val="vi-VN"/>
        </w:rPr>
        <w:tab/>
      </w:r>
      <w:r w:rsidRPr="00CC7432">
        <w:rPr>
          <w:szCs w:val="28"/>
          <w:lang w:val="vi-VN"/>
        </w:rPr>
        <w:t>Rà soát tài sản của nhà trường theo</w:t>
      </w:r>
      <w:r w:rsidRPr="00565C5E">
        <w:rPr>
          <w:szCs w:val="28"/>
          <w:lang w:val="vi-VN"/>
        </w:rPr>
        <w:t xml:space="preserve"> qui định</w:t>
      </w:r>
      <w:r w:rsidRPr="00CC7432">
        <w:rPr>
          <w:szCs w:val="28"/>
          <w:lang w:val="vi-VN"/>
        </w:rPr>
        <w:t xml:space="preserve"> một năm 2 lần, kịp thời t</w:t>
      </w:r>
      <w:r w:rsidRPr="00742E4A">
        <w:rPr>
          <w:szCs w:val="28"/>
          <w:lang w:val="vi-VN"/>
        </w:rPr>
        <w:t xml:space="preserve">ham mưu </w:t>
      </w:r>
      <w:r w:rsidRPr="00CC7432">
        <w:rPr>
          <w:szCs w:val="28"/>
          <w:lang w:val="vi-VN"/>
        </w:rPr>
        <w:t>với các cấp có thẩm quyền</w:t>
      </w:r>
      <w:r w:rsidRPr="00742E4A">
        <w:rPr>
          <w:szCs w:val="28"/>
          <w:lang w:val="vi-VN"/>
        </w:rPr>
        <w:t xml:space="preserve"> đầu tư cơ sở vật chất, bổ sung thiết bị hư hỏng, còn thiếu.</w:t>
      </w:r>
    </w:p>
    <w:p w14:paraId="4CF3541C" w14:textId="631995EE" w:rsidR="002247FA" w:rsidRPr="00A721D8" w:rsidRDefault="00A721D8" w:rsidP="00A721D8">
      <w:pPr>
        <w:spacing w:before="120"/>
        <w:ind w:firstLine="540"/>
        <w:jc w:val="both"/>
        <w:rPr>
          <w:b/>
          <w:szCs w:val="28"/>
        </w:rPr>
      </w:pPr>
      <w:r w:rsidRPr="00BA22AF">
        <w:rPr>
          <w:b/>
          <w:szCs w:val="28"/>
          <w:lang w:val="vi-VN"/>
        </w:rPr>
        <w:tab/>
        <w:t xml:space="preserve">5. Tự đánh giá: </w:t>
      </w:r>
      <w:r w:rsidRPr="008F4886">
        <w:rPr>
          <w:szCs w:val="28"/>
          <w:lang w:val="vi-VN"/>
        </w:rPr>
        <w:t>Đạt mức 3.</w:t>
      </w:r>
    </w:p>
    <w:tbl>
      <w:tblPr>
        <w:tblW w:w="0" w:type="auto"/>
        <w:tblLook w:val="01E0" w:firstRow="1" w:lastRow="1" w:firstColumn="1" w:lastColumn="1" w:noHBand="0" w:noVBand="0"/>
      </w:tblPr>
      <w:tblGrid>
        <w:gridCol w:w="3936"/>
        <w:gridCol w:w="5244"/>
      </w:tblGrid>
      <w:tr w:rsidR="002247FA" w14:paraId="66999540" w14:textId="77777777">
        <w:trPr>
          <w:trHeight w:val="80"/>
        </w:trPr>
        <w:tc>
          <w:tcPr>
            <w:tcW w:w="3936" w:type="dxa"/>
          </w:tcPr>
          <w:p w14:paraId="2DEE8E84" w14:textId="77777777" w:rsidR="002247FA" w:rsidRDefault="004D4197">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t xml:space="preserve">Xác nhận </w:t>
            </w:r>
          </w:p>
          <w:p w14:paraId="33DE1759" w14:textId="77777777" w:rsidR="002247FA" w:rsidRDefault="004D4197">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t>của trưởng nhóm công tác</w:t>
            </w:r>
          </w:p>
          <w:p w14:paraId="6A32906A" w14:textId="77777777" w:rsidR="002247FA" w:rsidRDefault="002247FA">
            <w:pPr>
              <w:jc w:val="center"/>
              <w:rPr>
                <w:rFonts w:asciiTheme="majorHAnsi" w:eastAsia="MS Mincho" w:hAnsiTheme="majorHAnsi" w:cstheme="majorHAnsi"/>
                <w:b/>
                <w:szCs w:val="28"/>
                <w:lang w:val="nb-NO"/>
              </w:rPr>
            </w:pPr>
          </w:p>
          <w:p w14:paraId="30DB1F9B" w14:textId="77777777" w:rsidR="002247FA" w:rsidRDefault="002247FA">
            <w:pPr>
              <w:jc w:val="center"/>
              <w:rPr>
                <w:rFonts w:asciiTheme="majorHAnsi" w:eastAsia="MS Mincho" w:hAnsiTheme="majorHAnsi" w:cstheme="majorHAnsi"/>
                <w:b/>
                <w:szCs w:val="28"/>
                <w:lang w:val="nb-NO"/>
              </w:rPr>
            </w:pPr>
          </w:p>
          <w:p w14:paraId="615842C4" w14:textId="77777777" w:rsidR="002247FA" w:rsidRDefault="002247FA">
            <w:pPr>
              <w:jc w:val="center"/>
              <w:rPr>
                <w:rFonts w:asciiTheme="majorHAnsi" w:eastAsia="MS Mincho" w:hAnsiTheme="majorHAnsi" w:cstheme="majorHAnsi"/>
                <w:b/>
                <w:szCs w:val="28"/>
                <w:lang w:val="nb-NO"/>
              </w:rPr>
            </w:pPr>
          </w:p>
          <w:p w14:paraId="120641A8" w14:textId="77777777" w:rsidR="002247FA" w:rsidRDefault="002247FA">
            <w:pPr>
              <w:jc w:val="center"/>
              <w:rPr>
                <w:rFonts w:asciiTheme="majorHAnsi" w:eastAsia="MS Mincho" w:hAnsiTheme="majorHAnsi" w:cstheme="majorHAnsi"/>
                <w:b/>
                <w:szCs w:val="28"/>
                <w:lang w:val="nb-NO"/>
              </w:rPr>
            </w:pPr>
          </w:p>
          <w:p w14:paraId="15118574" w14:textId="77777777" w:rsidR="002247FA" w:rsidRDefault="002247FA">
            <w:pPr>
              <w:jc w:val="center"/>
              <w:rPr>
                <w:rFonts w:asciiTheme="majorHAnsi" w:eastAsia="MS Mincho" w:hAnsiTheme="majorHAnsi" w:cstheme="majorHAnsi"/>
                <w:szCs w:val="28"/>
                <w:lang w:val="nb-NO"/>
              </w:rPr>
            </w:pPr>
          </w:p>
        </w:tc>
        <w:tc>
          <w:tcPr>
            <w:tcW w:w="5244" w:type="dxa"/>
          </w:tcPr>
          <w:p w14:paraId="5C396830" w14:textId="77777777" w:rsidR="002247FA" w:rsidRDefault="004D4197">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lastRenderedPageBreak/>
              <w:t>Người viết</w:t>
            </w:r>
          </w:p>
          <w:p w14:paraId="215EEA5B" w14:textId="77777777" w:rsidR="002247FA" w:rsidRDefault="002247FA">
            <w:pPr>
              <w:jc w:val="center"/>
              <w:rPr>
                <w:rFonts w:asciiTheme="majorHAnsi" w:eastAsia="MS Mincho" w:hAnsiTheme="majorHAnsi" w:cstheme="majorHAnsi"/>
                <w:i/>
                <w:szCs w:val="28"/>
                <w:lang w:val="nb-NO"/>
              </w:rPr>
            </w:pPr>
          </w:p>
          <w:p w14:paraId="515174A2" w14:textId="77777777" w:rsidR="002247FA" w:rsidRDefault="002247FA">
            <w:pPr>
              <w:jc w:val="center"/>
              <w:rPr>
                <w:rFonts w:asciiTheme="majorHAnsi" w:eastAsia="MS Mincho" w:hAnsiTheme="majorHAnsi" w:cstheme="majorHAnsi"/>
                <w:i/>
                <w:szCs w:val="28"/>
                <w:lang w:val="nb-NO"/>
              </w:rPr>
            </w:pPr>
          </w:p>
          <w:p w14:paraId="3CF440F2" w14:textId="77777777" w:rsidR="004D4197" w:rsidRDefault="004D4197">
            <w:pPr>
              <w:jc w:val="center"/>
              <w:rPr>
                <w:rFonts w:asciiTheme="majorHAnsi" w:eastAsia="MS Mincho" w:hAnsiTheme="majorHAnsi" w:cstheme="majorHAnsi"/>
                <w:i/>
                <w:szCs w:val="28"/>
                <w:lang w:val="nb-NO"/>
              </w:rPr>
            </w:pPr>
          </w:p>
          <w:p w14:paraId="016C5271" w14:textId="071A9A65" w:rsidR="002247FA" w:rsidRPr="00A721D8" w:rsidRDefault="00A721D8">
            <w:pPr>
              <w:jc w:val="center"/>
              <w:rPr>
                <w:rFonts w:asciiTheme="majorHAnsi" w:eastAsia="MS Mincho" w:hAnsiTheme="majorHAnsi" w:cstheme="majorHAnsi"/>
                <w:b/>
                <w:bCs/>
                <w:szCs w:val="28"/>
                <w:lang w:val="nb-NO"/>
              </w:rPr>
            </w:pPr>
            <w:r w:rsidRPr="00A721D8">
              <w:rPr>
                <w:rFonts w:asciiTheme="majorHAnsi" w:eastAsia="MS Mincho" w:hAnsiTheme="majorHAnsi" w:cstheme="majorHAnsi"/>
                <w:b/>
                <w:bCs/>
                <w:szCs w:val="28"/>
                <w:lang w:val="nb-NO"/>
              </w:rPr>
              <w:t>Nguyễn Thị Yến</w:t>
            </w:r>
          </w:p>
          <w:p w14:paraId="219830EC" w14:textId="77777777" w:rsidR="002247FA" w:rsidRDefault="002247FA" w:rsidP="00A721D8">
            <w:pPr>
              <w:jc w:val="center"/>
              <w:rPr>
                <w:rFonts w:asciiTheme="majorHAnsi" w:eastAsia="MS Mincho" w:hAnsiTheme="majorHAnsi" w:cstheme="majorHAnsi"/>
                <w:szCs w:val="28"/>
                <w:lang w:val="nb-NO"/>
              </w:rPr>
            </w:pPr>
          </w:p>
        </w:tc>
      </w:tr>
    </w:tbl>
    <w:p w14:paraId="2CFFB3B2" w14:textId="77777777" w:rsidR="002247FA" w:rsidRDefault="002247FA">
      <w:pPr>
        <w:rPr>
          <w:lang w:val="nb-NO"/>
        </w:rPr>
      </w:pPr>
    </w:p>
    <w:sectPr w:rsidR="002247FA" w:rsidSect="00A721D8">
      <w:pgSz w:w="11907" w:h="16840" w:code="9"/>
      <w:pgMar w:top="567"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7FA"/>
    <w:rsid w:val="00043D09"/>
    <w:rsid w:val="001A20D2"/>
    <w:rsid w:val="001D7E8E"/>
    <w:rsid w:val="002247FA"/>
    <w:rsid w:val="00297CDA"/>
    <w:rsid w:val="003D12E4"/>
    <w:rsid w:val="00442211"/>
    <w:rsid w:val="004D4197"/>
    <w:rsid w:val="005A19DE"/>
    <w:rsid w:val="006829F2"/>
    <w:rsid w:val="006C2DDE"/>
    <w:rsid w:val="0078080C"/>
    <w:rsid w:val="00A721D8"/>
    <w:rsid w:val="00A80ED1"/>
    <w:rsid w:val="00AF7B44"/>
    <w:rsid w:val="00D76FC6"/>
    <w:rsid w:val="00E66614"/>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D4FF5"/>
  <w15:docId w15:val="{82558EAE-8FF7-4E97-9749-89D8C82D1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pPr>
      <w:spacing w:before="100" w:beforeAutospacing="1" w:after="100" w:afterAutospacing="1"/>
    </w:pPr>
    <w:rPr>
      <w:sz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Bodytext6">
    <w:name w:val="Body text (6)_"/>
    <w:link w:val="Bodytext60"/>
    <w:locked/>
    <w:rsid w:val="00043D09"/>
    <w:rPr>
      <w:i/>
      <w:iCs/>
      <w:sz w:val="26"/>
      <w:szCs w:val="26"/>
      <w:shd w:val="clear" w:color="auto" w:fill="FFFFFF"/>
    </w:rPr>
  </w:style>
  <w:style w:type="paragraph" w:customStyle="1" w:styleId="Bodytext60">
    <w:name w:val="Body text (6)"/>
    <w:basedOn w:val="Normal"/>
    <w:link w:val="Bodytext6"/>
    <w:rsid w:val="00043D09"/>
    <w:pPr>
      <w:widowControl w:val="0"/>
      <w:shd w:val="clear" w:color="auto" w:fill="FFFFFF"/>
      <w:spacing w:line="240" w:lineRule="atLeast"/>
    </w:pPr>
    <w:rPr>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436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701</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doanyen211@gmail.com</cp:lastModifiedBy>
  <cp:revision>2</cp:revision>
  <cp:lastPrinted>2020-05-27T00:17:00Z</cp:lastPrinted>
  <dcterms:created xsi:type="dcterms:W3CDTF">2024-08-27T08:07:00Z</dcterms:created>
  <dcterms:modified xsi:type="dcterms:W3CDTF">2024-08-27T08:07:00Z</dcterms:modified>
</cp:coreProperties>
</file>